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24" w:rsidRPr="00ED6924" w:rsidRDefault="00ED6924" w:rsidP="00ED6924">
      <w:r w:rsidRPr="00ED6924">
        <w:rPr>
          <w:b/>
          <w:bCs/>
        </w:rPr>
        <w:t>РЕГЛАМЕНТ</w:t>
      </w:r>
    </w:p>
    <w:p w:rsidR="00ED6924" w:rsidRPr="00ED6924" w:rsidRDefault="00ED6924" w:rsidP="00ED6924">
      <w:r w:rsidRPr="00ED6924">
        <w:rPr>
          <w:b/>
          <w:bCs/>
        </w:rPr>
        <w:t>Всероссийского конкурса профессионального мастерства специалистов финансового рынка (FINSKILLS RUSSIA)</w:t>
      </w:r>
    </w:p>
    <w:p w:rsidR="00ED6924" w:rsidRPr="00ED6924" w:rsidRDefault="00ED6924" w:rsidP="00ED6924">
      <w:r w:rsidRPr="00ED6924">
        <w:rPr>
          <w:b/>
          <w:bCs/>
        </w:rPr>
        <w:t>1. Общие положения</w:t>
      </w:r>
    </w:p>
    <w:p w:rsidR="00ED6924" w:rsidRPr="00ED6924" w:rsidRDefault="00ED6924" w:rsidP="00ED6924">
      <w:r w:rsidRPr="00ED6924">
        <w:t>1.1. Регламент проведения Всероссийского конкурса профессионального мастерства специалистов финансового рынка (далее – Конкурс) разработан в соответствии с базовыми принципами Национальной системы профессиональных квалификаций и определяет порядок проведения конкурса, порядок участия в конкурсе и определения победителей и призеров.</w:t>
      </w:r>
    </w:p>
    <w:p w:rsidR="00ED6924" w:rsidRPr="00ED6924" w:rsidRDefault="00ED6924" w:rsidP="00ED6924">
      <w:r w:rsidRPr="00ED6924">
        <w:t>1.2. Конкурс проводится в целях:</w:t>
      </w:r>
    </w:p>
    <w:p w:rsidR="00ED6924" w:rsidRPr="00ED6924" w:rsidRDefault="00ED6924" w:rsidP="00ED6924">
      <w:pPr>
        <w:numPr>
          <w:ilvl w:val="0"/>
          <w:numId w:val="1"/>
        </w:numPr>
      </w:pPr>
      <w:r w:rsidRPr="00ED6924">
        <w:t>Популяризация современных финансовых профессий;</w:t>
      </w:r>
    </w:p>
    <w:p w:rsidR="00ED6924" w:rsidRPr="00ED6924" w:rsidRDefault="00ED6924" w:rsidP="00ED6924">
      <w:pPr>
        <w:numPr>
          <w:ilvl w:val="0"/>
          <w:numId w:val="1"/>
        </w:numPr>
      </w:pPr>
      <w:r w:rsidRPr="00ED6924">
        <w:t>Ориентация молодых и состоявшихся специалистов на требования рынка труда;</w:t>
      </w:r>
    </w:p>
    <w:p w:rsidR="00ED6924" w:rsidRPr="00ED6924" w:rsidRDefault="00ED6924" w:rsidP="00ED6924">
      <w:pPr>
        <w:numPr>
          <w:ilvl w:val="0"/>
          <w:numId w:val="1"/>
        </w:numPr>
      </w:pPr>
      <w:r w:rsidRPr="00ED6924">
        <w:t>Формирование базы лучших представителей профессий финансового рынка;</w:t>
      </w:r>
    </w:p>
    <w:p w:rsidR="00ED6924" w:rsidRPr="00ED6924" w:rsidRDefault="00ED6924" w:rsidP="00ED6924">
      <w:pPr>
        <w:numPr>
          <w:ilvl w:val="0"/>
          <w:numId w:val="1"/>
        </w:numPr>
      </w:pPr>
      <w:r w:rsidRPr="00ED6924">
        <w:t xml:space="preserve">Продвижение </w:t>
      </w:r>
      <w:proofErr w:type="spellStart"/>
      <w:r w:rsidRPr="00ED6924">
        <w:t>финтех</w:t>
      </w:r>
      <w:proofErr w:type="spellEnd"/>
      <w:r w:rsidRPr="00ED6924">
        <w:t>-сервисов и развитие цифровых компетенций в профессиональной деятельности специалистов финансового рынка.</w:t>
      </w:r>
    </w:p>
    <w:p w:rsidR="00ED6924" w:rsidRPr="00ED6924" w:rsidRDefault="00ED6924" w:rsidP="00ED6924">
      <w:r w:rsidRPr="00ED6924">
        <w:t xml:space="preserve">1.3. </w:t>
      </w:r>
      <w:bookmarkStart w:id="0" w:name="_GoBack"/>
      <w:r w:rsidRPr="00ED6924">
        <w:t xml:space="preserve">Официальный сайт Конкурса </w:t>
      </w:r>
      <w:hyperlink r:id="rId6" w:history="1">
        <w:r w:rsidRPr="00ED6924">
          <w:rPr>
            <w:rStyle w:val="a3"/>
          </w:rPr>
          <w:t>http://finskills.asprof.ru</w:t>
        </w:r>
      </w:hyperlink>
      <w:bookmarkEnd w:id="0"/>
    </w:p>
    <w:p w:rsidR="00ED6924" w:rsidRPr="00ED6924" w:rsidRDefault="00ED6924" w:rsidP="00ED6924">
      <w:r w:rsidRPr="00ED6924">
        <w:t>1.4. Организатор Конкурса (СПКФР либо организация, уполномоченная СПКФР):</w:t>
      </w:r>
    </w:p>
    <w:p w:rsidR="00ED6924" w:rsidRPr="00ED6924" w:rsidRDefault="00ED6924" w:rsidP="00ED6924">
      <w:pPr>
        <w:numPr>
          <w:ilvl w:val="0"/>
          <w:numId w:val="2"/>
        </w:numPr>
      </w:pPr>
      <w:r w:rsidRPr="00ED6924">
        <w:t>обеспечивает непосредственное проведение Конкурса;</w:t>
      </w:r>
    </w:p>
    <w:p w:rsidR="00ED6924" w:rsidRPr="00ED6924" w:rsidRDefault="00ED6924" w:rsidP="00ED6924">
      <w:pPr>
        <w:numPr>
          <w:ilvl w:val="0"/>
          <w:numId w:val="2"/>
        </w:numPr>
      </w:pPr>
      <w:r w:rsidRPr="00ED6924">
        <w:t>утверждает нормативные документы;</w:t>
      </w:r>
    </w:p>
    <w:p w:rsidR="00ED6924" w:rsidRPr="00ED6924" w:rsidRDefault="00ED6924" w:rsidP="00ED6924">
      <w:pPr>
        <w:numPr>
          <w:ilvl w:val="0"/>
          <w:numId w:val="2"/>
        </w:numPr>
      </w:pPr>
      <w:r w:rsidRPr="00ED6924">
        <w:t>разрабатывает тематику и готовит необходимые конкурсные задания по всем направлениям и номинациям Конкурса;</w:t>
      </w:r>
    </w:p>
    <w:p w:rsidR="00ED6924" w:rsidRPr="00ED6924" w:rsidRDefault="00ED6924" w:rsidP="00ED6924">
      <w:pPr>
        <w:numPr>
          <w:ilvl w:val="0"/>
          <w:numId w:val="2"/>
        </w:numPr>
      </w:pPr>
      <w:r w:rsidRPr="00ED6924">
        <w:t>утверждает и награждает победителей и призеров Конкурса;</w:t>
      </w:r>
    </w:p>
    <w:p w:rsidR="00ED6924" w:rsidRPr="00ED6924" w:rsidRDefault="00ED6924" w:rsidP="00ED6924">
      <w:pPr>
        <w:numPr>
          <w:ilvl w:val="0"/>
          <w:numId w:val="2"/>
        </w:numPr>
      </w:pPr>
      <w:r w:rsidRPr="00ED6924">
        <w:t>формирует и утверждает жюри Конкурса;</w:t>
      </w:r>
    </w:p>
    <w:p w:rsidR="00ED6924" w:rsidRPr="00ED6924" w:rsidRDefault="00ED6924" w:rsidP="00ED6924">
      <w:pPr>
        <w:numPr>
          <w:ilvl w:val="0"/>
          <w:numId w:val="2"/>
        </w:numPr>
      </w:pPr>
      <w:r w:rsidRPr="00ED6924">
        <w:t>информирует СМИ о проведении Конкурса;</w:t>
      </w:r>
    </w:p>
    <w:p w:rsidR="00ED6924" w:rsidRPr="00ED6924" w:rsidRDefault="00ED6924" w:rsidP="00ED6924">
      <w:pPr>
        <w:numPr>
          <w:ilvl w:val="0"/>
          <w:numId w:val="2"/>
        </w:numPr>
      </w:pPr>
      <w:r w:rsidRPr="00ED6924">
        <w:t>привлекает партнеров и спонсоров Конкурса</w:t>
      </w:r>
    </w:p>
    <w:p w:rsidR="00ED6924" w:rsidRPr="00ED6924" w:rsidRDefault="00ED6924" w:rsidP="00ED6924">
      <w:pPr>
        <w:numPr>
          <w:ilvl w:val="0"/>
          <w:numId w:val="2"/>
        </w:numPr>
      </w:pPr>
      <w:r w:rsidRPr="00ED6924">
        <w:lastRenderedPageBreak/>
        <w:t>осуществляет иные функции в интересах Конкурса.</w:t>
      </w:r>
    </w:p>
    <w:p w:rsidR="00ED6924" w:rsidRPr="00ED6924" w:rsidRDefault="00ED6924" w:rsidP="00ED6924">
      <w:r w:rsidRPr="00ED6924">
        <w:rPr>
          <w:b/>
          <w:bCs/>
        </w:rPr>
        <w:t>Генеральный партнер конкурса</w:t>
      </w:r>
      <w:r w:rsidRPr="00ED6924">
        <w:t xml:space="preserve"> – Система «Главбух».</w:t>
      </w:r>
    </w:p>
    <w:p w:rsidR="00ED6924" w:rsidRPr="00ED6924" w:rsidRDefault="00ED6924" w:rsidP="00ED6924">
      <w:r w:rsidRPr="00ED6924">
        <w:rPr>
          <w:b/>
          <w:bCs/>
        </w:rPr>
        <w:t>Партнеры конкурса:</w:t>
      </w:r>
    </w:p>
    <w:p w:rsidR="00ED6924" w:rsidRPr="00ED6924" w:rsidRDefault="00ED6924" w:rsidP="00ED6924">
      <w:pPr>
        <w:numPr>
          <w:ilvl w:val="0"/>
          <w:numId w:val="3"/>
        </w:numPr>
      </w:pPr>
      <w:r w:rsidRPr="00ED6924">
        <w:t>Финансовый университет при Правительстве Российской Федерации;</w:t>
      </w:r>
    </w:p>
    <w:p w:rsidR="00ED6924" w:rsidRPr="00ED6924" w:rsidRDefault="00ED6924" w:rsidP="00ED6924">
      <w:pPr>
        <w:numPr>
          <w:ilvl w:val="0"/>
          <w:numId w:val="3"/>
        </w:numPr>
      </w:pPr>
      <w:r w:rsidRPr="00ED6924">
        <w:t>Национальное агентство развития квалификаций.</w:t>
      </w:r>
    </w:p>
    <w:p w:rsidR="00ED6924" w:rsidRPr="00ED6924" w:rsidRDefault="00ED6924" w:rsidP="00ED6924">
      <w:r w:rsidRPr="00ED6924">
        <w:t>В интересах Конкурса состав партнеров всех категорий может быть изменен Организатором. Актуальный состав партнеров Конкурса указывается Организатором на официальном сайте Конкурса.</w:t>
      </w:r>
    </w:p>
    <w:p w:rsidR="00ED6924" w:rsidRPr="00ED6924" w:rsidRDefault="00ED6924" w:rsidP="00ED6924">
      <w:r w:rsidRPr="00ED6924">
        <w:t>1.4. Конкурс проводится на русском языке.</w:t>
      </w:r>
    </w:p>
    <w:p w:rsidR="00ED6924" w:rsidRPr="00ED6924" w:rsidRDefault="00ED6924" w:rsidP="00ED6924">
      <w:r w:rsidRPr="00ED6924">
        <w:t>1.5. Конкурс проводится по направлениям, которые соответствуют квалификациям, утвержденным Национальным советом по профессиональным квалификациям в соответствии с перечнем профессиональных стандартов, закрепленных за деятельностью СПКФР. Организатором в перечень направлений Конкурс</w:t>
      </w:r>
      <w:proofErr w:type="gramStart"/>
      <w:r w:rsidRPr="00ED6924">
        <w:t>а-</w:t>
      </w:r>
      <w:proofErr w:type="gramEnd"/>
      <w:r w:rsidRPr="00ED6924">
        <w:t xml:space="preserve"> в порядке эксперимента могут быть включены квалификации, находящиеся в процессе разработки и утверждения. Перечень направлений Конкурса и соответствующие им квалификации публикуется Организатором на официальном сайте Конкурса на позднее, чем за один календарный месяц до начала регистрации.</w:t>
      </w:r>
    </w:p>
    <w:p w:rsidR="00ED6924" w:rsidRPr="00ED6924" w:rsidRDefault="00ED6924" w:rsidP="00ED6924">
      <w:r w:rsidRPr="00ED6924">
        <w:t>1.6. Конкурс проводится по номинациям:</w:t>
      </w:r>
    </w:p>
    <w:p w:rsidR="00ED6924" w:rsidRPr="00ED6924" w:rsidRDefault="00ED6924" w:rsidP="00ED6924">
      <w:pPr>
        <w:numPr>
          <w:ilvl w:val="0"/>
          <w:numId w:val="4"/>
        </w:numPr>
      </w:pPr>
      <w:r w:rsidRPr="00ED6924">
        <w:t>«</w:t>
      </w:r>
      <w:proofErr w:type="gramStart"/>
      <w:r w:rsidRPr="00ED6924">
        <w:t>Лучший</w:t>
      </w:r>
      <w:proofErr w:type="gramEnd"/>
      <w:r w:rsidRPr="00ED6924">
        <w:t xml:space="preserve"> в профессии» - номинация учреждена для работающих профессионалов, добившихся высоких результатов в трудовой деятельности и преподавателей СПО и ВУЗов.</w:t>
      </w:r>
    </w:p>
    <w:p w:rsidR="00ED6924" w:rsidRPr="00ED6924" w:rsidRDefault="00ED6924" w:rsidP="00ED6924">
      <w:r w:rsidRPr="00ED6924">
        <w:t>Возраст участников - от 25 лет и старше;</w:t>
      </w:r>
    </w:p>
    <w:p w:rsidR="00ED6924" w:rsidRPr="00ED6924" w:rsidRDefault="00ED6924" w:rsidP="00ED6924">
      <w:pPr>
        <w:numPr>
          <w:ilvl w:val="0"/>
          <w:numId w:val="5"/>
        </w:numPr>
      </w:pPr>
      <w:r w:rsidRPr="00F6017B">
        <w:rPr>
          <w:highlight w:val="yellow"/>
        </w:rPr>
        <w:t>«Лучший молодой специалист»</w:t>
      </w:r>
      <w:r w:rsidRPr="00ED6924">
        <w:t xml:space="preserve"> - для выпускников и студентов образовательных учреждений:</w:t>
      </w:r>
    </w:p>
    <w:p w:rsidR="00ED6924" w:rsidRPr="00ED6924" w:rsidRDefault="00ED6924" w:rsidP="00ED6924">
      <w:r w:rsidRPr="00ED6924">
        <w:t>- СПО - от 2 курса и старше,</w:t>
      </w:r>
      <w:r w:rsidRPr="00ED6924">
        <w:br/>
        <w:t>- бакалавриата – от 3 курса и старше,</w:t>
      </w:r>
      <w:r w:rsidRPr="00ED6924">
        <w:br/>
        <w:t>- магистрантов – с 1 года обучения.</w:t>
      </w:r>
    </w:p>
    <w:p w:rsidR="00ED6924" w:rsidRPr="00ED6924" w:rsidRDefault="00ED6924" w:rsidP="00ED6924">
      <w:r w:rsidRPr="00ED6924">
        <w:t>Возраст участников - от 18 до 25 лет;</w:t>
      </w:r>
    </w:p>
    <w:p w:rsidR="00ED6924" w:rsidRPr="00ED6924" w:rsidRDefault="00ED6924" w:rsidP="00ED6924">
      <w:pPr>
        <w:numPr>
          <w:ilvl w:val="0"/>
          <w:numId w:val="6"/>
        </w:numPr>
      </w:pPr>
      <w:r w:rsidRPr="00ED6924">
        <w:t>«Лучший преподаватель»</w:t>
      </w:r>
    </w:p>
    <w:p w:rsidR="00ED6924" w:rsidRPr="00ED6924" w:rsidRDefault="00ED6924" w:rsidP="00ED6924">
      <w:r w:rsidRPr="00ED6924">
        <w:t>Для преподавателей СПО, бакалавриата, магистратуры и ДПО</w:t>
      </w:r>
    </w:p>
    <w:p w:rsidR="00ED6924" w:rsidRPr="00ED6924" w:rsidRDefault="00ED6924" w:rsidP="00ED6924">
      <w:r w:rsidRPr="00ED6924">
        <w:lastRenderedPageBreak/>
        <w:t>1.7. Для оценки работ участников формируется жюри Конкурса и экспертные комиссии Конкурса. Экспертные комиссии проводит предварительную оценку работ конкурсантов по направлению в соответствие с методикой, утвержденной Организатором. Жюри формирует решение о выборе победителей и призеров Конкурса.</w:t>
      </w:r>
    </w:p>
    <w:p w:rsidR="00ED6924" w:rsidRPr="00ED6924" w:rsidRDefault="00ED6924" w:rsidP="00ED6924">
      <w:r w:rsidRPr="00ED6924">
        <w:t>1.8. По каждому направлению жюри Конкурса определяет по одному победителю в каждой номинации. Жюри может также определить призеров Конкурса по каждому направлению. Количество призеров не ограничено.</w:t>
      </w:r>
    </w:p>
    <w:p w:rsidR="00ED6924" w:rsidRPr="00ED6924" w:rsidRDefault="00ED6924" w:rsidP="00ED6924">
      <w:r w:rsidRPr="00ED6924">
        <w:rPr>
          <w:b/>
          <w:bCs/>
        </w:rPr>
        <w:t>2. Порядок организации и проведения конкурса</w:t>
      </w:r>
    </w:p>
    <w:p w:rsidR="00ED6924" w:rsidRPr="00ED6924" w:rsidRDefault="00ED6924" w:rsidP="00ED6924">
      <w:r w:rsidRPr="00ED6924">
        <w:t>2.1. Конкурс проводится в два этапа:</w:t>
      </w:r>
    </w:p>
    <w:p w:rsidR="00ED6924" w:rsidRPr="00ED6924" w:rsidRDefault="00ED6924" w:rsidP="00ED6924">
      <w:r w:rsidRPr="00ED6924">
        <w:rPr>
          <w:b/>
          <w:bCs/>
        </w:rPr>
        <w:t>Первый этап</w:t>
      </w:r>
      <w:r w:rsidRPr="00ED6924">
        <w:t xml:space="preserve"> – теоретическое онлайн тестирование участников в соответствие с выбранным направлением и номинацией.</w:t>
      </w:r>
    </w:p>
    <w:p w:rsidR="00ED6924" w:rsidRPr="00ED6924" w:rsidRDefault="00ED6924" w:rsidP="00ED6924">
      <w:r w:rsidRPr="00ED6924">
        <w:rPr>
          <w:b/>
          <w:bCs/>
        </w:rPr>
        <w:t xml:space="preserve">Второй этап </w:t>
      </w:r>
      <w:r w:rsidRPr="00ED6924">
        <w:t>– решение практического кейса (задания), либо подготовка проекта (в зависимости от выбранного направления).</w:t>
      </w:r>
    </w:p>
    <w:p w:rsidR="00ED6924" w:rsidRPr="00ED6924" w:rsidRDefault="00ED6924" w:rsidP="00ED6924">
      <w:r w:rsidRPr="00ED6924">
        <w:t>2.2. Периоды регистрации и проведения всех этапов Конкурса публикуются организатором на официальном сайте Конкурса не позднее, чем за один месяц до начала регистрации.</w:t>
      </w:r>
    </w:p>
    <w:p w:rsidR="00ED6924" w:rsidRPr="00ED6924" w:rsidRDefault="00ED6924" w:rsidP="00ED6924">
      <w:r w:rsidRPr="00ED6924">
        <w:t>2.3. Для проведения второго этапа Конкурса Организатором может быть определен Региональный Оргкомитет. Региональный Оргкомитет формируется на базе регионального представительства СПКФР, образовательной организации, представителя органов исполнительной власти субъектов Российской Федерации, организаци</w:t>
      </w:r>
      <w:proofErr w:type="gramStart"/>
      <w:r w:rsidRPr="00ED6924">
        <w:t>и-</w:t>
      </w:r>
      <w:proofErr w:type="gramEnd"/>
      <w:r w:rsidRPr="00ED6924">
        <w:t xml:space="preserve"> работодателя в регионе с целью организации и проведения второго этапа Конкурса на объединенной территории нескольких субъектов Российской Федерации, входящих в один Федеральный округ. Информация о составе Региональных Оргкомитетов и их работе публикуется Организатором на официальном сайте Конкурса.</w:t>
      </w:r>
    </w:p>
    <w:p w:rsidR="00ED6924" w:rsidRPr="00ED6924" w:rsidRDefault="00ED6924" w:rsidP="00ED6924">
      <w:r w:rsidRPr="00ED6924">
        <w:t>2.4. Работы участников второго этапа, проживающих в соответствующих субъектах Российской Федерации, передаются Организатором в Региональный Оргкомитет.</w:t>
      </w:r>
    </w:p>
    <w:p w:rsidR="00ED6924" w:rsidRPr="00ED6924" w:rsidRDefault="00ED6924" w:rsidP="00ED6924">
      <w:r w:rsidRPr="00ED6924">
        <w:t xml:space="preserve">2.5. Региональный Оргкомитет формирует региональные экспертные комиссии и региональное жюри по направлениям и проводит оценку работ участников в соответствие с методикой, утвержденной Организатором. Региональное жюри определяет по одному победителю в каждом направлении и номинации. Региональное жюри может также определить </w:t>
      </w:r>
      <w:r w:rsidRPr="00ED6924">
        <w:lastRenderedPageBreak/>
        <w:t>призеров в регионе по каждому направлению. Количество призеров не ограничено.</w:t>
      </w:r>
    </w:p>
    <w:p w:rsidR="00ED6924" w:rsidRPr="00ED6924" w:rsidRDefault="00ED6924" w:rsidP="00ED6924">
      <w:r w:rsidRPr="00ED6924">
        <w:t>2.6. Победителями и призерами Конкурса являются все победители и призеры, определённые жюри и региональными жюри.</w:t>
      </w:r>
    </w:p>
    <w:p w:rsidR="00ED6924" w:rsidRPr="00ED6924" w:rsidRDefault="00ED6924" w:rsidP="00ED6924">
      <w:r w:rsidRPr="00ED6924">
        <w:t>2.7. Комплекты оценочных средств, используемых в рамках конкурса, являются аналогами комплектов оценочных средств, используемых при проведении профессиональных экзаменов в центрах оценки квалификаций.</w:t>
      </w:r>
    </w:p>
    <w:p w:rsidR="00ED6924" w:rsidRPr="00ED6924" w:rsidRDefault="00ED6924" w:rsidP="00ED6924">
      <w:r w:rsidRPr="00ED6924">
        <w:t xml:space="preserve">2.8. Организатор публикует </w:t>
      </w:r>
      <w:proofErr w:type="gramStart"/>
      <w:r w:rsidRPr="00ED6924">
        <w:t>пороговое</w:t>
      </w:r>
      <w:proofErr w:type="gramEnd"/>
      <w:r w:rsidRPr="00ED6924">
        <w:t xml:space="preserve"> значения по каждому из тестов в личных кабинетах участников до начала тестирования.</w:t>
      </w:r>
    </w:p>
    <w:p w:rsidR="00ED6924" w:rsidRPr="00ED6924" w:rsidRDefault="00ED6924" w:rsidP="00ED6924">
      <w:r w:rsidRPr="00ED6924">
        <w:t>2.9. Участники, набравшие по итогам онлайн-тестирования в первом этапе Конкурса баллы, равные и превышающие пороговые значения, получают от СПКФР Сертификаты признания теоретической части профессионального экзамена по выбранной квалификации.</w:t>
      </w:r>
    </w:p>
    <w:p w:rsidR="00ED6924" w:rsidRPr="00ED6924" w:rsidRDefault="00ED6924" w:rsidP="00ED6924">
      <w:r w:rsidRPr="00ED6924">
        <w:t>2.10. Работы участников из Москвы и Московской области, а также из регионов, в которых на сформированы Региональные Оргкомитеты, рассматриваются основным жюри Конкурса.</w:t>
      </w:r>
    </w:p>
    <w:p w:rsidR="00ED6924" w:rsidRPr="00ED6924" w:rsidRDefault="00ED6924" w:rsidP="00ED6924">
      <w:r w:rsidRPr="00ED6924">
        <w:rPr>
          <w:b/>
          <w:bCs/>
        </w:rPr>
        <w:t>3. Порядок участия в конкурсе и определения победителей и призеров</w:t>
      </w:r>
    </w:p>
    <w:p w:rsidR="00ED6924" w:rsidRPr="00ED6924" w:rsidRDefault="00ED6924" w:rsidP="00ED6924">
      <w:r w:rsidRPr="00ED6924">
        <w:t>3.1. Участие в конкурсе добровольное и бесплатное.</w:t>
      </w:r>
    </w:p>
    <w:p w:rsidR="00ED6924" w:rsidRPr="00ED6924" w:rsidRDefault="00ED6924" w:rsidP="00ED6924">
      <w:r w:rsidRPr="00ED6924">
        <w:t>3.2. Каждый участник конкурса в обязательном порядке должен пройти процедуру регистрации, заполнить анкету участника и форму согласия на обработку персональных данных. Участники конкурса несут персональную ответственность за достоверность персональных данных, указанных при регистрации.</w:t>
      </w:r>
    </w:p>
    <w:p w:rsidR="00ED6924" w:rsidRPr="00ED6924" w:rsidRDefault="00ED6924" w:rsidP="00ED6924">
      <w:r w:rsidRPr="00ED6924">
        <w:t>3.3. Перед началом первого этапа каждый участник получает подробную инструкцию, содержащую информацию о порядке прохождения тестирования, отведенном времени для ответов на вопросы, порядке начисления баллов и минимальном пороговом значении. Инструкции размещаются в личных кабинетах участников, доступ в которые открывается после регистрации.</w:t>
      </w:r>
    </w:p>
    <w:p w:rsidR="00ED6924" w:rsidRPr="00ED6924" w:rsidRDefault="00ED6924" w:rsidP="00ED6924">
      <w:r w:rsidRPr="00ED6924">
        <w:t>3.4. Каждый тест участник может пройти только один раз.</w:t>
      </w:r>
    </w:p>
    <w:p w:rsidR="00ED6924" w:rsidRPr="00ED6924" w:rsidRDefault="00ED6924" w:rsidP="00ED6924">
      <w:r w:rsidRPr="00ED6924">
        <w:t>Информация о количестве набранных баллов доступна участнику в личном кабинете сразу после прохождения тестирования.</w:t>
      </w:r>
    </w:p>
    <w:p w:rsidR="00ED6924" w:rsidRPr="00ED6924" w:rsidRDefault="00ED6924" w:rsidP="00ED6924">
      <w:r w:rsidRPr="00ED6924">
        <w:lastRenderedPageBreak/>
        <w:t>3.5. Информация о результатах тестирования доступна участникам в личных кабинетах сразу же после завершения тестирования. По результатам прохождения первого этапа участники, набравшие необходимое количество баллов (от порогового и выше), получают Сертификат признания теоретической части профессионального экзамена на квалификационный аттестат по соответствующей квалификации. Сертификат выдается СПКФР и его электронный вариант размещается в личных кабинетах участников.</w:t>
      </w:r>
    </w:p>
    <w:p w:rsidR="00ED6924" w:rsidRPr="00ED6924" w:rsidRDefault="00ED6924" w:rsidP="00ED6924">
      <w:r w:rsidRPr="00ED6924">
        <w:t>Данный сертификат засчитывается центром оценки квалификаций в качестве факта сдачи теоретической части профессионального экзамена. Актуальный список аккредитованных центров оценки квалификаций находится на сайте Организатора www.asprof.ru</w:t>
      </w:r>
    </w:p>
    <w:p w:rsidR="00ED6924" w:rsidRPr="00ED6924" w:rsidRDefault="00ED6924" w:rsidP="00ED6924">
      <w:r w:rsidRPr="00ED6924">
        <w:t>Список участников конкурса, получивших право на Сертификат признания теоретической части профессионального экзамена будет опубликован на сайте конкурса в течение 10 рабочих дней после завершения первого этапа.</w:t>
      </w:r>
    </w:p>
    <w:p w:rsidR="00ED6924" w:rsidRPr="00ED6924" w:rsidRDefault="00ED6924" w:rsidP="00ED6924">
      <w:r w:rsidRPr="00ED6924">
        <w:t>3.6. К участию во втором этапе приглашаются участники, успешно прошедшие первый этап по выбранному направлению, за исключением тех направлений, в которых проведение теоретического тестирования не предусмотрено. Участники таких направлений получают задание второго (практического) этапа в личных кабинетах сразу после завершения регистрации.</w:t>
      </w:r>
    </w:p>
    <w:p w:rsidR="00ED6924" w:rsidRPr="00ED6924" w:rsidRDefault="00ED6924" w:rsidP="00ED6924">
      <w:r w:rsidRPr="00ED6924">
        <w:t>3.7. Работы конкурсантов во втором этапе проходят предварительную оценку экспертной комиссией. Участники, получившие допуск своих работ от экспертной комиссии, проводят защиту своих работ перед жюри Конкурса. Защита работы может быть организована в формате удаленного онлайн подключения.</w:t>
      </w:r>
    </w:p>
    <w:p w:rsidR="00ED6924" w:rsidRPr="00ED6924" w:rsidRDefault="00ED6924" w:rsidP="00ED6924">
      <w:r w:rsidRPr="00ED6924">
        <w:t>3.8. По итогам второго этапа по каждому направлению определяются по 1 победителю в каждой номинации. Кроме победителей жюри Конкурса и Региональные жюри конкурса могут определить также призеров. Количество призеров не ограничено.</w:t>
      </w:r>
    </w:p>
    <w:p w:rsidR="00ED6924" w:rsidRPr="00ED6924" w:rsidRDefault="00ED6924" w:rsidP="00ED6924">
      <w:r w:rsidRPr="00ED6924">
        <w:t>3.9. Победителям конкурса по решению ученого совета Финансового университета могут быть предоставлены льготы (100 баллов за вступительный экзамен по экономической теории) при поступлении на образовательные программы магистратуры.</w:t>
      </w:r>
    </w:p>
    <w:p w:rsidR="00ED6924" w:rsidRPr="00ED6924" w:rsidRDefault="00ED6924" w:rsidP="00ED6924">
      <w:r w:rsidRPr="00ED6924">
        <w:t xml:space="preserve">3.10. Участники конкурса получат возможность получить кубки победителей, как символы признания на финансовом рынке, почетные дипломы за </w:t>
      </w:r>
      <w:r w:rsidRPr="00ED6924">
        <w:lastRenderedPageBreak/>
        <w:t xml:space="preserve">достижения в профессиональной деятельности, призы и подарки от партнеров </w:t>
      </w:r>
      <w:proofErr w:type="gramStart"/>
      <w:r w:rsidRPr="00ED6924">
        <w:t>с</w:t>
      </w:r>
      <w:proofErr w:type="gramEnd"/>
      <w:r w:rsidRPr="00ED6924">
        <w:t xml:space="preserve"> спонсоров Конкурса.</w:t>
      </w:r>
    </w:p>
    <w:p w:rsidR="00E31390" w:rsidRPr="00F6017B" w:rsidRDefault="00480613"/>
    <w:p w:rsidR="00ED6924" w:rsidRPr="00ED6924" w:rsidRDefault="00ED6924" w:rsidP="00ED6924">
      <w:pPr>
        <w:rPr>
          <w:b/>
          <w:bCs/>
        </w:rPr>
      </w:pPr>
      <w:r w:rsidRPr="00ED6924">
        <w:rPr>
          <w:b/>
          <w:bCs/>
        </w:rPr>
        <w:t>Порядок проведения FSR</w:t>
      </w:r>
    </w:p>
    <w:p w:rsidR="00ED6924" w:rsidRPr="00ED6924" w:rsidRDefault="00ED6924" w:rsidP="00ED6924">
      <w:r w:rsidRPr="00ED6924">
        <w:rPr>
          <w:b/>
          <w:bCs/>
        </w:rPr>
        <w:t xml:space="preserve">Первый этап конкурса </w:t>
      </w:r>
      <w:r w:rsidRPr="00ED6924">
        <w:t>– теоретическое онлайн тестирование участников в соответствие с выбранным направлением и номинацией.</w:t>
      </w:r>
    </w:p>
    <w:p w:rsidR="00ED6924" w:rsidRPr="00ED6924" w:rsidRDefault="00ED6924" w:rsidP="00ED6924">
      <w:r w:rsidRPr="00ED6924">
        <w:t>Порядок прохождения тестирования, правила начисления баллов, пороговые значения баллов по каждой квалификации и другая необходимая информация будет размещена в личных кабинетах участников.</w:t>
      </w:r>
    </w:p>
    <w:p w:rsidR="00ED6924" w:rsidRPr="00ED6924" w:rsidRDefault="00ED6924" w:rsidP="00ED6924">
      <w:r w:rsidRPr="00ED6924">
        <w:t>Комплекты оценочных средств, используемых в рамках Конкурса, являются аналогами комплектов оценочных средств, используемых при проведении профессиональных экзаменов в </w:t>
      </w:r>
      <w:hyperlink r:id="rId7" w:tgtFrame="_blank" w:history="1">
        <w:r w:rsidRPr="00ED6924">
          <w:rPr>
            <w:rStyle w:val="a3"/>
          </w:rPr>
          <w:t>центрах оценки квалификаций</w:t>
        </w:r>
      </w:hyperlink>
      <w:r w:rsidRPr="00ED6924">
        <w:t>.</w:t>
      </w:r>
    </w:p>
    <w:p w:rsidR="00ED6924" w:rsidRPr="00ED6924" w:rsidRDefault="00ED6924" w:rsidP="00ED6924">
      <w:r w:rsidRPr="00ED6924">
        <w:t>Особым условием для Конкурсантов является зачет положительного результата в рамках дальнейшей процедуры независимой оценки квалификации в любом из профильных центров оценки квалификации.</w:t>
      </w:r>
    </w:p>
    <w:p w:rsidR="00ED6924" w:rsidRPr="00ED6924" w:rsidRDefault="00ED6924" w:rsidP="00ED6924">
      <w:r w:rsidRPr="00ED6924">
        <w:t>По результатам прохождения первого этапа конкурсанты получают Сертификаты признания теоретической части экзамена на квалификационный аттестат в случае, если будет набрано необходимое количество баллов.</w:t>
      </w:r>
    </w:p>
    <w:p w:rsidR="00ED6924" w:rsidRPr="00ED6924" w:rsidRDefault="00ED6924" w:rsidP="00ED6924">
      <w:r w:rsidRPr="00ED6924">
        <w:t>Необходимое количество баллов по каждому направлению конкурса будет опубликовано до начала отборочного этапа.</w:t>
      </w:r>
    </w:p>
    <w:p w:rsidR="00ED6924" w:rsidRPr="00ED6924" w:rsidRDefault="00ED6924" w:rsidP="00ED6924">
      <w:r w:rsidRPr="00ED6924">
        <w:rPr>
          <w:b/>
          <w:bCs/>
        </w:rPr>
        <w:t>Второй этап</w:t>
      </w:r>
      <w:r w:rsidRPr="00ED6924">
        <w:t> </w:t>
      </w:r>
      <w:r w:rsidRPr="00ED6924">
        <w:rPr>
          <w:b/>
          <w:bCs/>
        </w:rPr>
        <w:t>конкурс</w:t>
      </w:r>
      <w:proofErr w:type="gramStart"/>
      <w:r w:rsidRPr="00ED6924">
        <w:rPr>
          <w:b/>
          <w:bCs/>
        </w:rPr>
        <w:t>а</w:t>
      </w:r>
      <w:r w:rsidRPr="00ED6924">
        <w:t>–</w:t>
      </w:r>
      <w:proofErr w:type="gramEnd"/>
      <w:r w:rsidRPr="00ED6924">
        <w:t xml:space="preserve"> решение практического кейса (задания), либо подготовка проекта (в зависимости от выбранного направления).</w:t>
      </w:r>
    </w:p>
    <w:p w:rsidR="00ED6924" w:rsidRPr="00ED6924" w:rsidRDefault="00ED6924" w:rsidP="00ED6924">
      <w:r w:rsidRPr="00ED6924">
        <w:t xml:space="preserve">Участники, набравшие в первом этапе количество баллов выше порогового, проходят во второй (финальный) этап конкурса, где им предстоит решение и защита проектов или </w:t>
      </w:r>
      <w:proofErr w:type="gramStart"/>
      <w:r w:rsidRPr="00ED6924">
        <w:t>бизнес-кейсов</w:t>
      </w:r>
      <w:proofErr w:type="gramEnd"/>
      <w:r w:rsidRPr="00ED6924">
        <w:t xml:space="preserve"> перед жюри конкурса. </w:t>
      </w:r>
    </w:p>
    <w:p w:rsidR="00ED6924" w:rsidRPr="00ED6924" w:rsidRDefault="00ED6924" w:rsidP="00ED6924">
      <w:r w:rsidRPr="00ED6924">
        <w:t>Для оценки работ участников формируется жюри конкурса и экспертные комиссии Конкурса. Экспертные комиссии проводит предварительную оценку работ конкурсантов по направлению в соответствие с методикой, утвержденной Организатором. Жюри формирует решение о выборе победителей и призеров конкурса.</w:t>
      </w:r>
    </w:p>
    <w:p w:rsidR="00ED6924" w:rsidRPr="00ED6924" w:rsidRDefault="00ED6924" w:rsidP="00ED6924">
      <w:r w:rsidRPr="00ED6924">
        <w:lastRenderedPageBreak/>
        <w:t>По каждому направлению жюри конкурса определяет по одному победителю в каждой номинации. Жюри может также определить призеров Конкурса по каждому направлению. Количество призеров заранее не ограничено.</w:t>
      </w:r>
    </w:p>
    <w:p w:rsidR="00ED6924" w:rsidRPr="00ED6924" w:rsidRDefault="00ED6924" w:rsidP="00ED6924">
      <w:r w:rsidRPr="00ED6924">
        <w:rPr>
          <w:b/>
          <w:bCs/>
        </w:rPr>
        <w:t>Сроки проведения конкурса</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980"/>
        <w:gridCol w:w="2295"/>
        <w:gridCol w:w="2535"/>
      </w:tblGrid>
      <w:tr w:rsidR="00ED6924" w:rsidRPr="00ED6924" w:rsidTr="00ED6924">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Номинации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Регистрация</w:t>
            </w:r>
          </w:p>
        </w:tc>
        <w:tc>
          <w:tcPr>
            <w:tcW w:w="229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rPr>
                <w:b/>
                <w:bCs/>
              </w:rPr>
              <w:t>1 этап</w:t>
            </w:r>
          </w:p>
          <w:p w:rsidR="006E60D8" w:rsidRPr="00ED6924" w:rsidRDefault="00ED6924" w:rsidP="00ED6924">
            <w:r w:rsidRPr="00ED6924">
              <w:rPr>
                <w:b/>
                <w:bCs/>
              </w:rPr>
              <w:t>(онлайн тестирование)</w:t>
            </w:r>
          </w:p>
        </w:tc>
        <w:tc>
          <w:tcPr>
            <w:tcW w:w="253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rPr>
                <w:b/>
                <w:bCs/>
              </w:rPr>
              <w:t>2 этап</w:t>
            </w:r>
          </w:p>
          <w:p w:rsidR="006E60D8" w:rsidRPr="00ED6924" w:rsidRDefault="00ED6924" w:rsidP="00ED6924">
            <w:r w:rsidRPr="00ED6924">
              <w:rPr>
                <w:b/>
                <w:bCs/>
              </w:rPr>
              <w:t>(подготовка и защита практических кейсов)</w:t>
            </w:r>
          </w:p>
        </w:tc>
      </w:tr>
      <w:tr w:rsidR="00ED6924" w:rsidRPr="00ED6924" w:rsidTr="00ED6924">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F6017B">
              <w:rPr>
                <w:highlight w:val="yellow"/>
              </w:rPr>
              <w:t>Лучший молодой специалист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Январь-Февраль 2019</w:t>
            </w:r>
          </w:p>
        </w:tc>
        <w:tc>
          <w:tcPr>
            <w:tcW w:w="22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Февраль-март 2019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Апрель-май 2019 г</w:t>
            </w:r>
          </w:p>
        </w:tc>
      </w:tr>
      <w:tr w:rsidR="00ED6924" w:rsidRPr="00ED6924" w:rsidTr="00ED6924">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gramStart"/>
            <w:r w:rsidRPr="00ED6924">
              <w:t>Лучший</w:t>
            </w:r>
            <w:proofErr w:type="gramEnd"/>
            <w:r w:rsidRPr="00ED6924">
              <w:t xml:space="preserve"> по профессии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Апрель 2019</w:t>
            </w:r>
          </w:p>
        </w:tc>
        <w:tc>
          <w:tcPr>
            <w:tcW w:w="22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Май 2019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Сентябрь 2019</w:t>
            </w:r>
          </w:p>
        </w:tc>
      </w:tr>
      <w:tr w:rsidR="00ED6924" w:rsidRPr="00ED6924" w:rsidTr="00ED6924">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Лучший преподаватель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Январь-Февраль 2019</w:t>
            </w:r>
          </w:p>
        </w:tc>
        <w:tc>
          <w:tcPr>
            <w:tcW w:w="22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Февраль-март 2019 г</w:t>
            </w:r>
          </w:p>
        </w:tc>
        <w:tc>
          <w:tcPr>
            <w:tcW w:w="25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Апрель-май 2019 г</w:t>
            </w:r>
          </w:p>
        </w:tc>
      </w:tr>
    </w:tbl>
    <w:p w:rsidR="00ED6924" w:rsidRPr="00ED6924" w:rsidRDefault="00ED6924" w:rsidP="00ED6924">
      <w:r w:rsidRPr="00ED6924">
        <w:t>Даты проведения этапов будут размещены минимум за один месяц до начала соответствующего этапа. По решению организатора даты этапов могут быть изменены. Вся актуальная информация по конкурсу будет своевременно размещена на сайте.</w:t>
      </w:r>
    </w:p>
    <w:p w:rsidR="00ED6924" w:rsidRPr="00ED6924" w:rsidRDefault="00ED6924" w:rsidP="00ED6924">
      <w:r w:rsidRPr="00ED6924">
        <w:rPr>
          <w:b/>
          <w:bCs/>
        </w:rPr>
        <w:t>Номинации конкурса</w:t>
      </w:r>
    </w:p>
    <w:p w:rsidR="00ED6924" w:rsidRPr="00ED6924" w:rsidRDefault="00ED6924" w:rsidP="00ED6924">
      <w:r w:rsidRPr="00ED6924">
        <w:t>Конкурс проводится по номинациям:</w:t>
      </w:r>
    </w:p>
    <w:p w:rsidR="00ED6924" w:rsidRPr="00ED6924" w:rsidRDefault="00ED6924" w:rsidP="00ED6924">
      <w:pPr>
        <w:numPr>
          <w:ilvl w:val="0"/>
          <w:numId w:val="7"/>
        </w:numPr>
      </w:pPr>
      <w:r w:rsidRPr="00F6017B">
        <w:rPr>
          <w:b/>
          <w:bCs/>
          <w:highlight w:val="yellow"/>
        </w:rPr>
        <w:t>«Лучший молодой специалист»</w:t>
      </w:r>
      <w:r w:rsidRPr="00ED6924">
        <w:t> - для выпускников и студентов образовательных учреждений. СПО - от 2 курса и старше, бакалавриата – от 3 курса и старше, магистрантов – с 1 года обучения. Возраст участников - от 18 до 25 лет;</w:t>
      </w:r>
    </w:p>
    <w:p w:rsidR="00ED6924" w:rsidRPr="00ED6924" w:rsidRDefault="00ED6924" w:rsidP="00ED6924">
      <w:pPr>
        <w:numPr>
          <w:ilvl w:val="0"/>
          <w:numId w:val="7"/>
        </w:numPr>
      </w:pPr>
      <w:r w:rsidRPr="00ED6924">
        <w:rPr>
          <w:b/>
          <w:bCs/>
        </w:rPr>
        <w:t>«</w:t>
      </w:r>
      <w:proofErr w:type="gramStart"/>
      <w:r w:rsidRPr="00ED6924">
        <w:rPr>
          <w:b/>
          <w:bCs/>
        </w:rPr>
        <w:t>Лучший</w:t>
      </w:r>
      <w:proofErr w:type="gramEnd"/>
      <w:r w:rsidRPr="00ED6924">
        <w:rPr>
          <w:b/>
          <w:bCs/>
        </w:rPr>
        <w:t xml:space="preserve"> в профессии»</w:t>
      </w:r>
      <w:r w:rsidRPr="00ED6924">
        <w:t> - номинация учреждена для работающих профессионалов, добившихся высоких результатов в трудовой деятельности и преподавателей СПО и ВУЗов. Возраст участников - от 25 лет и старше;</w:t>
      </w:r>
    </w:p>
    <w:p w:rsidR="00ED6924" w:rsidRPr="00ED6924" w:rsidRDefault="00ED6924" w:rsidP="00ED6924">
      <w:pPr>
        <w:numPr>
          <w:ilvl w:val="0"/>
          <w:numId w:val="7"/>
        </w:numPr>
      </w:pPr>
      <w:r w:rsidRPr="00ED6924">
        <w:rPr>
          <w:b/>
          <w:bCs/>
        </w:rPr>
        <w:t>«Лучший преподаватель»</w:t>
      </w:r>
      <w:r w:rsidRPr="00ED6924">
        <w:t> - для преподавателей СПО, бакалавриата, магистратуры и ДПО.</w:t>
      </w:r>
    </w:p>
    <w:p w:rsidR="00ED6924" w:rsidRPr="00ED6924" w:rsidRDefault="00ED6924" w:rsidP="00ED6924">
      <w:r w:rsidRPr="00ED6924">
        <w:t>Направления конкурса</w:t>
      </w:r>
    </w:p>
    <w:p w:rsidR="00ED6924" w:rsidRPr="00ED6924" w:rsidRDefault="00ED6924" w:rsidP="00ED6924">
      <w:pPr>
        <w:numPr>
          <w:ilvl w:val="0"/>
          <w:numId w:val="8"/>
        </w:numPr>
      </w:pPr>
      <w:r w:rsidRPr="00ED6924">
        <w:lastRenderedPageBreak/>
        <w:t>Бухгалтерский учет;</w:t>
      </w:r>
    </w:p>
    <w:p w:rsidR="00ED6924" w:rsidRPr="00ED6924" w:rsidRDefault="00ED6924" w:rsidP="00ED6924">
      <w:pPr>
        <w:numPr>
          <w:ilvl w:val="0"/>
          <w:numId w:val="8"/>
        </w:numPr>
      </w:pPr>
      <w:r w:rsidRPr="00ED6924">
        <w:t>Оценочная деятельность;</w:t>
      </w:r>
    </w:p>
    <w:p w:rsidR="00ED6924" w:rsidRPr="00ED6924" w:rsidRDefault="00ED6924" w:rsidP="00ED6924">
      <w:pPr>
        <w:numPr>
          <w:ilvl w:val="0"/>
          <w:numId w:val="8"/>
        </w:numPr>
      </w:pPr>
      <w:r w:rsidRPr="00ED6924">
        <w:t>Риск-менеджмент;</w:t>
      </w:r>
    </w:p>
    <w:p w:rsidR="00ED6924" w:rsidRPr="00ED6924" w:rsidRDefault="00ED6924" w:rsidP="00ED6924">
      <w:pPr>
        <w:numPr>
          <w:ilvl w:val="0"/>
          <w:numId w:val="8"/>
        </w:numPr>
      </w:pPr>
      <w:r w:rsidRPr="00ED6924">
        <w:t>Противодействию легализации доходов, полученных преступным путем, и финансированию терроризма (ПОД/ФТ);</w:t>
      </w:r>
    </w:p>
    <w:p w:rsidR="00ED6924" w:rsidRPr="00ED6924" w:rsidRDefault="00ED6924" w:rsidP="00ED6924">
      <w:pPr>
        <w:numPr>
          <w:ilvl w:val="0"/>
          <w:numId w:val="8"/>
        </w:numPr>
      </w:pPr>
      <w:r w:rsidRPr="00ED6924">
        <w:t>Работа с инвестиционными проектами;</w:t>
      </w:r>
    </w:p>
    <w:p w:rsidR="00ED6924" w:rsidRPr="00ED6924" w:rsidRDefault="00ED6924" w:rsidP="00ED6924">
      <w:pPr>
        <w:numPr>
          <w:ilvl w:val="0"/>
          <w:numId w:val="8"/>
        </w:numPr>
      </w:pPr>
      <w:r w:rsidRPr="00ED6924">
        <w:t>Внутренний контроль;</w:t>
      </w:r>
    </w:p>
    <w:p w:rsidR="00ED6924" w:rsidRPr="00ED6924" w:rsidRDefault="00ED6924" w:rsidP="00ED6924">
      <w:pPr>
        <w:numPr>
          <w:ilvl w:val="0"/>
          <w:numId w:val="8"/>
        </w:numPr>
      </w:pPr>
      <w:proofErr w:type="spellStart"/>
      <w:r w:rsidRPr="00ED6924">
        <w:t>Fintech</w:t>
      </w:r>
      <w:proofErr w:type="spellEnd"/>
      <w:r w:rsidRPr="00ED6924">
        <w:t xml:space="preserve"> – проект.</w:t>
      </w:r>
    </w:p>
    <w:p w:rsidR="00ED6924" w:rsidRPr="00ED6924" w:rsidRDefault="00ED6924" w:rsidP="00ED6924">
      <w:r w:rsidRPr="00ED6924">
        <w:rPr>
          <w:b/>
          <w:bCs/>
        </w:rPr>
        <w:t>Связь этапов, направлений и номинаций «Лучший молодой специалист» и «Лучший по профессии», «Лучший преподаватель».</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2156"/>
        <w:gridCol w:w="1777"/>
        <w:gridCol w:w="1777"/>
        <w:gridCol w:w="3373"/>
      </w:tblGrid>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Направление</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Лучший молодой специалист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gramStart"/>
            <w:r w:rsidRPr="00ED6924">
              <w:rPr>
                <w:b/>
                <w:bCs/>
              </w:rPr>
              <w:t>Лучший</w:t>
            </w:r>
            <w:proofErr w:type="gramEnd"/>
            <w:r w:rsidRPr="00ED6924">
              <w:rPr>
                <w:b/>
                <w:bCs/>
              </w:rPr>
              <w:t xml:space="preserve"> по профессии</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Лучший преподаватель</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Бухгалтерский учет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Да, оба этапа, для преподавателей СПО, бакалавриата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Оценочная деятельность</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Да, оба этапа, для </w:t>
            </w:r>
            <w:proofErr w:type="spellStart"/>
            <w:r w:rsidRPr="00ED6924">
              <w:t>преподавателейбакалавриата</w:t>
            </w:r>
            <w:proofErr w:type="spellEnd"/>
            <w:r w:rsidRPr="00ED6924">
              <w:t xml:space="preserve">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Риск-менеджмент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Да, оба этапа, для </w:t>
            </w:r>
            <w:proofErr w:type="spellStart"/>
            <w:r w:rsidRPr="00ED6924">
              <w:t>преподавателейбакалавриата</w:t>
            </w:r>
            <w:proofErr w:type="spellEnd"/>
            <w:r w:rsidRPr="00ED6924">
              <w:t xml:space="preserve">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Противодействие легализации доходов, полученных преступным путем, и финансированию терроризма </w:t>
            </w:r>
            <w:r w:rsidRPr="00ED6924">
              <w:lastRenderedPageBreak/>
              <w:t>(ПОД/ФТ)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lastRenderedPageBreak/>
              <w:t>Оба этапа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Да, оба этапа, для </w:t>
            </w:r>
            <w:proofErr w:type="spellStart"/>
            <w:r w:rsidRPr="00ED6924">
              <w:t>преподавателейбакалавриата</w:t>
            </w:r>
            <w:proofErr w:type="spellEnd"/>
            <w:r w:rsidRPr="00ED6924">
              <w:t xml:space="preserve">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lastRenderedPageBreak/>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Работа с инвестиционными проектами</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Да, оба этапа, для </w:t>
            </w:r>
            <w:proofErr w:type="spellStart"/>
            <w:r w:rsidRPr="00ED6924">
              <w:t>преподавателейбакалавриата</w:t>
            </w:r>
            <w:proofErr w:type="spellEnd"/>
            <w:r w:rsidRPr="00ED6924">
              <w:t xml:space="preserve">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Внутренний контроль</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Оба этапа</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Да, оба этапа, для </w:t>
            </w:r>
            <w:proofErr w:type="spellStart"/>
            <w:r w:rsidRPr="00ED6924">
              <w:t>преподавателейбакалавриата</w:t>
            </w:r>
            <w:proofErr w:type="spellEnd"/>
            <w:r w:rsidRPr="00ED6924">
              <w:t xml:space="preserve"> и магистратуры и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spellStart"/>
            <w:r w:rsidRPr="00ED6924">
              <w:t>Fintech</w:t>
            </w:r>
            <w:proofErr w:type="spellEnd"/>
            <w:r w:rsidRPr="00ED6924">
              <w:t xml:space="preserve"> - проект</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Только второй этап</w:t>
            </w:r>
          </w:p>
        </w:tc>
        <w:tc>
          <w:tcPr>
            <w:tcW w:w="193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c>
          <w:tcPr>
            <w:tcW w:w="247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r>
    </w:tbl>
    <w:p w:rsidR="00ED6924" w:rsidRPr="00ED6924" w:rsidRDefault="00ED6924" w:rsidP="00ED6924">
      <w:r w:rsidRPr="00ED6924">
        <w:t> </w:t>
      </w:r>
    </w:p>
    <w:p w:rsidR="00ED6924" w:rsidRPr="00ED6924" w:rsidRDefault="00ED6924" w:rsidP="00ED6924">
      <w:r w:rsidRPr="00ED6924">
        <w:t> </w:t>
      </w:r>
    </w:p>
    <w:p w:rsidR="00ED6924" w:rsidRPr="00ED6924" w:rsidRDefault="00ED6924" w:rsidP="00ED6924">
      <w:r w:rsidRPr="00ED6924">
        <w:rPr>
          <w:b/>
          <w:bCs/>
        </w:rPr>
        <w:t>Соотнесение профессиональных квалификаций, направлений и номинаций «Лучший молодой специалист» и «Лучший по профессии»</w:t>
      </w:r>
    </w:p>
    <w:tbl>
      <w:tblPr>
        <w:tblW w:w="9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2253"/>
        <w:gridCol w:w="3500"/>
        <w:gridCol w:w="3696"/>
      </w:tblGrid>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Направление</w:t>
            </w:r>
          </w:p>
        </w:tc>
        <w:tc>
          <w:tcPr>
            <w:tcW w:w="34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Лучший молодой специалист</w:t>
            </w:r>
          </w:p>
        </w:tc>
        <w:tc>
          <w:tcPr>
            <w:tcW w:w="36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gramStart"/>
            <w:r w:rsidRPr="00ED6924">
              <w:rPr>
                <w:b/>
                <w:bCs/>
              </w:rPr>
              <w:t>Лучший</w:t>
            </w:r>
            <w:proofErr w:type="gramEnd"/>
            <w:r w:rsidRPr="00ED6924">
              <w:rPr>
                <w:b/>
                <w:bCs/>
              </w:rPr>
              <w:t xml:space="preserve"> по профессии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Бухгалтерский учет</w:t>
            </w:r>
          </w:p>
        </w:tc>
        <w:tc>
          <w:tcPr>
            <w:tcW w:w="34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«Бухгалтер», 5 уровень квалификации</w:t>
            </w:r>
          </w:p>
        </w:tc>
        <w:tc>
          <w:tcPr>
            <w:tcW w:w="36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«Главный бухгалтер»,6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Оценочная деятельность</w:t>
            </w:r>
          </w:p>
        </w:tc>
        <w:tc>
          <w:tcPr>
            <w:tcW w:w="349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«Специалист по оценочной деятельности»,</w:t>
            </w:r>
          </w:p>
          <w:p w:rsidR="006E60D8" w:rsidRPr="00ED6924" w:rsidRDefault="00ED6924" w:rsidP="00ED6924">
            <w:r w:rsidRPr="00ED6924">
              <w:t>5 уровень квалификации</w:t>
            </w:r>
          </w:p>
        </w:tc>
        <w:tc>
          <w:tcPr>
            <w:tcW w:w="36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оценочной деятельности», 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Риск-менеджмент</w:t>
            </w:r>
          </w:p>
        </w:tc>
        <w:tc>
          <w:tcPr>
            <w:tcW w:w="7185" w:type="dxa"/>
            <w:gridSpan w:val="2"/>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«Специалист по управлению рисками»,</w:t>
            </w:r>
          </w:p>
          <w:p w:rsidR="006E60D8" w:rsidRPr="00ED6924" w:rsidRDefault="00ED6924" w:rsidP="00ED6924">
            <w:r w:rsidRPr="00ED6924">
              <w:t>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Противодействие легализации доходов, полученных преступным путем, и финансированию терроризма </w:t>
            </w:r>
            <w:r w:rsidRPr="00ED6924">
              <w:lastRenderedPageBreak/>
              <w:t>(ПОД/ФТ)</w:t>
            </w:r>
          </w:p>
        </w:tc>
        <w:tc>
          <w:tcPr>
            <w:tcW w:w="34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lastRenderedPageBreak/>
              <w:t>«Специалист по осуществлению внутреннего контроля в целях ПОД/ФТ», 5 уровень квалификации</w:t>
            </w:r>
          </w:p>
        </w:tc>
        <w:tc>
          <w:tcPr>
            <w:tcW w:w="369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Специалист по ПОД/ФТ в кредитной организации;</w:t>
            </w:r>
            <w:r w:rsidRPr="00ED6924">
              <w:br/>
              <w:t xml:space="preserve">- Специалист по ПОД/ФТ в </w:t>
            </w:r>
            <w:proofErr w:type="spellStart"/>
            <w:r w:rsidRPr="00ED6924">
              <w:t>некредитной</w:t>
            </w:r>
            <w:proofErr w:type="spellEnd"/>
            <w:r w:rsidRPr="00ED6924">
              <w:t xml:space="preserve"> финансовой организации;</w:t>
            </w:r>
            <w:r w:rsidRPr="00ED6924">
              <w:br/>
              <w:t xml:space="preserve">- Специалист </w:t>
            </w:r>
            <w:proofErr w:type="gramStart"/>
            <w:r w:rsidRPr="00ED6924">
              <w:t>по</w:t>
            </w:r>
            <w:proofErr w:type="gramEnd"/>
            <w:r w:rsidRPr="00ED6924">
              <w:t xml:space="preserve"> ПОД/ФТ в нефинансовой организации,</w:t>
            </w:r>
          </w:p>
          <w:p w:rsidR="006E60D8" w:rsidRPr="00ED6924" w:rsidRDefault="00ED6924" w:rsidP="00ED6924">
            <w:r w:rsidRPr="00ED6924">
              <w:lastRenderedPageBreak/>
              <w:t>5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lastRenderedPageBreak/>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Работа с инвестиционными проектами</w:t>
            </w:r>
          </w:p>
        </w:tc>
        <w:tc>
          <w:tcPr>
            <w:tcW w:w="34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c>
          <w:tcPr>
            <w:tcW w:w="36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работе с инвестиционными проектами», 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Внутренний контроль</w:t>
            </w:r>
          </w:p>
        </w:tc>
        <w:tc>
          <w:tcPr>
            <w:tcW w:w="349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внутреннему контролю», 5А уровень квалификации</w:t>
            </w:r>
          </w:p>
        </w:tc>
        <w:tc>
          <w:tcPr>
            <w:tcW w:w="36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внутреннему контролю», 5В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25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spellStart"/>
            <w:r w:rsidRPr="00ED6924">
              <w:t>Fintech</w:t>
            </w:r>
            <w:proofErr w:type="spellEnd"/>
            <w:r w:rsidRPr="00ED6924">
              <w:t xml:space="preserve"> - проект</w:t>
            </w:r>
          </w:p>
        </w:tc>
        <w:tc>
          <w:tcPr>
            <w:tcW w:w="7185" w:type="dxa"/>
            <w:gridSpan w:val="2"/>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Выдача Сертификатов признания теоретической части профессионального экзамена не предусмотрена</w:t>
            </w:r>
          </w:p>
        </w:tc>
      </w:tr>
    </w:tbl>
    <w:p w:rsidR="00ED6924" w:rsidRPr="00ED6924" w:rsidRDefault="00ED6924" w:rsidP="00ED6924">
      <w:r w:rsidRPr="00ED6924">
        <w:t> </w:t>
      </w:r>
    </w:p>
    <w:p w:rsidR="00ED6924" w:rsidRPr="00ED6924" w:rsidRDefault="00ED6924" w:rsidP="00ED6924">
      <w:r w:rsidRPr="00ED6924">
        <w:t> </w:t>
      </w:r>
    </w:p>
    <w:p w:rsidR="00ED6924" w:rsidRPr="00ED6924" w:rsidRDefault="00ED6924" w:rsidP="00ED6924">
      <w:r w:rsidRPr="00ED6924">
        <w:rPr>
          <w:b/>
          <w:bCs/>
        </w:rPr>
        <w:t>Соотнесение профессиональных квалификаций, направлений и номинации «Лучший преподаватель».</w:t>
      </w:r>
    </w:p>
    <w:p w:rsidR="00ED6924" w:rsidRPr="00ED6924" w:rsidRDefault="00ED6924" w:rsidP="00ED6924">
      <w:r w:rsidRPr="00ED6924">
        <w:t> </w:t>
      </w:r>
    </w:p>
    <w:tbl>
      <w:tblPr>
        <w:tblW w:w="96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490"/>
        <w:gridCol w:w="3255"/>
        <w:gridCol w:w="3405"/>
      </w:tblGrid>
      <w:tr w:rsidR="00ED6924" w:rsidRPr="00ED6924" w:rsidTr="00ED6924">
        <w:trPr>
          <w:tblCellSpacing w:w="0" w:type="dxa"/>
          <w:jc w:val="center"/>
        </w:trPr>
        <w:tc>
          <w:tcPr>
            <w:tcW w:w="480" w:type="dxa"/>
            <w:vMerge w:val="restart"/>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w:t>
            </w:r>
          </w:p>
        </w:tc>
        <w:tc>
          <w:tcPr>
            <w:tcW w:w="2490" w:type="dxa"/>
            <w:vMerge w:val="restart"/>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Направление</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Лучший преподаватель</w:t>
            </w:r>
          </w:p>
        </w:tc>
      </w:tr>
      <w:tr w:rsidR="00ED6924" w:rsidRPr="00ED6924" w:rsidTr="00ED692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tc>
        <w:tc>
          <w:tcPr>
            <w:tcW w:w="0" w:type="auto"/>
            <w:vMerge/>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СПО</w:t>
            </w:r>
          </w:p>
        </w:tc>
        <w:tc>
          <w:tcPr>
            <w:tcW w:w="340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rPr>
                <w:b/>
                <w:bCs/>
              </w:rPr>
              <w:t>Бакалавриата, магистратуры, ДПО</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Бухгалтерский учет</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«Бухгалтер», 5 уровень квалификации</w:t>
            </w:r>
          </w:p>
        </w:tc>
        <w:tc>
          <w:tcPr>
            <w:tcW w:w="340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«Главный бухгалтер», 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Оценочная деятельность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оценочной деятельности», 5 уровень квалификации</w:t>
            </w:r>
          </w:p>
        </w:tc>
        <w:tc>
          <w:tcPr>
            <w:tcW w:w="340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«Оценщик объектов I категории сложности»,</w:t>
            </w:r>
          </w:p>
          <w:p w:rsidR="006E60D8" w:rsidRPr="00ED6924" w:rsidRDefault="00ED6924" w:rsidP="00ED6924">
            <w:r w:rsidRPr="00ED6924">
              <w:t>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Риск-менеджмент</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c>
          <w:tcPr>
            <w:tcW w:w="340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«Специалист по управлению рисками»,</w:t>
            </w:r>
          </w:p>
          <w:p w:rsidR="006E60D8" w:rsidRPr="00ED6924" w:rsidRDefault="00ED6924" w:rsidP="00ED6924">
            <w:r w:rsidRPr="00ED6924">
              <w:t>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 xml:space="preserve">Противодействие легализации доходов, полученных </w:t>
            </w:r>
            <w:r w:rsidRPr="00ED6924">
              <w:lastRenderedPageBreak/>
              <w:t>преступным путем, и финансированию терроризма (ПОД/ФТ)</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lastRenderedPageBreak/>
              <w:t>Не предусмотрено</w:t>
            </w:r>
          </w:p>
        </w:tc>
        <w:tc>
          <w:tcPr>
            <w:tcW w:w="3405"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Специалист по ПОД/ФТ в кредитной организации;</w:t>
            </w:r>
            <w:r w:rsidRPr="00ED6924">
              <w:br/>
              <w:t xml:space="preserve">- Специалист по ПОД/ФТ в </w:t>
            </w:r>
            <w:proofErr w:type="spellStart"/>
            <w:r w:rsidRPr="00ED6924">
              <w:t>некредитной</w:t>
            </w:r>
            <w:proofErr w:type="spellEnd"/>
            <w:r w:rsidRPr="00ED6924">
              <w:t xml:space="preserve"> финансовой </w:t>
            </w:r>
            <w:r w:rsidRPr="00ED6924">
              <w:lastRenderedPageBreak/>
              <w:t>организации;</w:t>
            </w:r>
            <w:r w:rsidRPr="00ED6924">
              <w:br/>
              <w:t xml:space="preserve">- Специалист </w:t>
            </w:r>
            <w:proofErr w:type="gramStart"/>
            <w:r w:rsidRPr="00ED6924">
              <w:t>по</w:t>
            </w:r>
            <w:proofErr w:type="gramEnd"/>
            <w:r w:rsidRPr="00ED6924">
              <w:t xml:space="preserve"> ПОД/ФТ в нефинансовой организации,</w:t>
            </w:r>
          </w:p>
          <w:p w:rsidR="006E60D8" w:rsidRPr="00ED6924" w:rsidRDefault="00ED6924" w:rsidP="00ED6924">
            <w:r w:rsidRPr="00ED6924">
              <w:t>5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lastRenderedPageBreak/>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Работа с инвестиционными проектами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c>
          <w:tcPr>
            <w:tcW w:w="340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работе с инвестиционными проектами», 6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Внутренний контроль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внутреннему контролю», 5А уровень квалификации</w:t>
            </w:r>
          </w:p>
        </w:tc>
        <w:tc>
          <w:tcPr>
            <w:tcW w:w="3405"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«Специалист по внутреннему контролю», 5В уровень квалификации</w:t>
            </w:r>
          </w:p>
        </w:tc>
      </w:tr>
      <w:tr w:rsidR="00ED6924" w:rsidRPr="00ED6924" w:rsidTr="00ED6924">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ED6924" w:rsidRPr="00ED6924" w:rsidRDefault="00ED6924" w:rsidP="00ED6924">
            <w:r w:rsidRPr="00ED6924">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proofErr w:type="spellStart"/>
            <w:r w:rsidRPr="00ED6924">
              <w:t>Fintech</w:t>
            </w:r>
            <w:proofErr w:type="spellEnd"/>
            <w:r w:rsidRPr="00ED6924">
              <w:t xml:space="preserve"> - проект</w:t>
            </w:r>
          </w:p>
        </w:tc>
        <w:tc>
          <w:tcPr>
            <w:tcW w:w="6660" w:type="dxa"/>
            <w:gridSpan w:val="2"/>
            <w:tcBorders>
              <w:top w:val="outset" w:sz="6" w:space="0" w:color="auto"/>
              <w:left w:val="outset" w:sz="6" w:space="0" w:color="auto"/>
              <w:bottom w:val="outset" w:sz="6" w:space="0" w:color="auto"/>
              <w:right w:val="outset" w:sz="6" w:space="0" w:color="auto"/>
            </w:tcBorders>
            <w:vAlign w:val="center"/>
            <w:hideMark/>
          </w:tcPr>
          <w:p w:rsidR="006E60D8" w:rsidRPr="00ED6924" w:rsidRDefault="00ED6924" w:rsidP="00ED6924">
            <w:r w:rsidRPr="00ED6924">
              <w:t>Не предусмотрено</w:t>
            </w:r>
          </w:p>
        </w:tc>
      </w:tr>
    </w:tbl>
    <w:p w:rsidR="00ED6924" w:rsidRPr="00ED6924" w:rsidRDefault="00ED6924" w:rsidP="00ED6924">
      <w:r w:rsidRPr="00ED6924">
        <w:t> </w:t>
      </w:r>
    </w:p>
    <w:p w:rsidR="00ED6924" w:rsidRPr="00ED6924" w:rsidRDefault="00ED6924">
      <w:pPr>
        <w:rPr>
          <w:lang w:val="en-US"/>
        </w:rPr>
      </w:pPr>
    </w:p>
    <w:sectPr w:rsidR="00ED6924" w:rsidRPr="00ED6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3A"/>
    <w:multiLevelType w:val="multilevel"/>
    <w:tmpl w:val="712C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A0630"/>
    <w:multiLevelType w:val="multilevel"/>
    <w:tmpl w:val="0DA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53692"/>
    <w:multiLevelType w:val="multilevel"/>
    <w:tmpl w:val="7DA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060CF"/>
    <w:multiLevelType w:val="multilevel"/>
    <w:tmpl w:val="430A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F73E4"/>
    <w:multiLevelType w:val="multilevel"/>
    <w:tmpl w:val="697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02F65"/>
    <w:multiLevelType w:val="multilevel"/>
    <w:tmpl w:val="CED4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00A10"/>
    <w:multiLevelType w:val="multilevel"/>
    <w:tmpl w:val="5D5C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F5C84"/>
    <w:multiLevelType w:val="multilevel"/>
    <w:tmpl w:val="FF5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4"/>
    <w:rsid w:val="00013A9F"/>
    <w:rsid w:val="00480613"/>
    <w:rsid w:val="00590493"/>
    <w:rsid w:val="006E60D8"/>
    <w:rsid w:val="00ED6924"/>
    <w:rsid w:val="00F60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9F"/>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9F"/>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70272">
      <w:bodyDiv w:val="1"/>
      <w:marLeft w:val="0"/>
      <w:marRight w:val="0"/>
      <w:marTop w:val="0"/>
      <w:marBottom w:val="0"/>
      <w:divBdr>
        <w:top w:val="none" w:sz="0" w:space="0" w:color="auto"/>
        <w:left w:val="none" w:sz="0" w:space="0" w:color="auto"/>
        <w:bottom w:val="none" w:sz="0" w:space="0" w:color="auto"/>
        <w:right w:val="none" w:sz="0" w:space="0" w:color="auto"/>
      </w:divBdr>
      <w:divsChild>
        <w:div w:id="850950299">
          <w:marLeft w:val="0"/>
          <w:marRight w:val="0"/>
          <w:marTop w:val="0"/>
          <w:marBottom w:val="0"/>
          <w:divBdr>
            <w:top w:val="none" w:sz="0" w:space="0" w:color="auto"/>
            <w:left w:val="none" w:sz="0" w:space="0" w:color="auto"/>
            <w:bottom w:val="none" w:sz="0" w:space="0" w:color="auto"/>
            <w:right w:val="none" w:sz="0" w:space="0" w:color="auto"/>
          </w:divBdr>
          <w:divsChild>
            <w:div w:id="1090735313">
              <w:marLeft w:val="0"/>
              <w:marRight w:val="0"/>
              <w:marTop w:val="0"/>
              <w:marBottom w:val="0"/>
              <w:divBdr>
                <w:top w:val="none" w:sz="0" w:space="0" w:color="auto"/>
                <w:left w:val="none" w:sz="0" w:space="0" w:color="auto"/>
                <w:bottom w:val="none" w:sz="0" w:space="0" w:color="auto"/>
                <w:right w:val="none" w:sz="0" w:space="0" w:color="auto"/>
              </w:divBdr>
            </w:div>
            <w:div w:id="280577982">
              <w:marLeft w:val="0"/>
              <w:marRight w:val="0"/>
              <w:marTop w:val="0"/>
              <w:marBottom w:val="0"/>
              <w:divBdr>
                <w:top w:val="none" w:sz="0" w:space="0" w:color="auto"/>
                <w:left w:val="none" w:sz="0" w:space="0" w:color="auto"/>
                <w:bottom w:val="none" w:sz="0" w:space="0" w:color="auto"/>
                <w:right w:val="none" w:sz="0" w:space="0" w:color="auto"/>
              </w:divBdr>
            </w:div>
            <w:div w:id="1558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prof.ru/ok/reestr_C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skills.asprof.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dc:creator>
  <cp:lastModifiedBy>cons</cp:lastModifiedBy>
  <cp:revision>3</cp:revision>
  <dcterms:created xsi:type="dcterms:W3CDTF">2018-12-27T12:06:00Z</dcterms:created>
  <dcterms:modified xsi:type="dcterms:W3CDTF">2018-12-28T06:50:00Z</dcterms:modified>
</cp:coreProperties>
</file>